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00" w:beforeAutospacing="1" w:line="585" w:lineRule="atLeast"/>
        <w:jc w:val="center"/>
      </w:pPr>
      <w:bookmarkStart w:id="0" w:name="_GoBack"/>
      <w:bookmarkEnd w:id="0"/>
      <w:r>
        <w:rPr>
          <w:rFonts w:ascii="方正小标宋简体" w:hAnsi="方正小标宋简体" w:eastAsia="方正小标宋简体" w:cs="方正小标宋简体"/>
          <w:sz w:val="43"/>
          <w:szCs w:val="43"/>
        </w:rPr>
        <w:t>2025年度行政执法工作报告</w:t>
      </w:r>
    </w:p>
    <w:p>
      <w:pPr>
        <w:pStyle w:val="2"/>
        <w:keepNext w:val="0"/>
        <w:keepLines w:val="0"/>
        <w:widowControl/>
        <w:suppressLineNumbers w:val="0"/>
        <w:spacing w:before="100" w:beforeAutospacing="1" w:line="585" w:lineRule="atLeast"/>
        <w:ind w:left="0" w:firstLine="795"/>
      </w:pPr>
      <w:r>
        <w:rPr>
          <w:rFonts w:ascii="仿宋_gb2312" w:hAnsi="仿宋_gb2312" w:eastAsia="仿宋_gb2312" w:cs="仿宋_gb2312"/>
          <w:sz w:val="31"/>
          <w:szCs w:val="31"/>
        </w:rPr>
        <w:t>2025年，天津市滨海新区</w:t>
      </w:r>
      <w:r>
        <w:rPr>
          <w:rFonts w:hint="default" w:ascii="仿宋_gb2312" w:hAnsi="仿宋_gb2312" w:eastAsia="仿宋_gb2312" w:cs="仿宋_gb2312"/>
          <w:sz w:val="31"/>
          <w:szCs w:val="31"/>
        </w:rPr>
        <w:t>城市管理委员会全面贯彻落实党的二十大精神，全面贯彻习近平新时代中国特色社会主义思想，认真落实区委区政府的有关工作部署，主动担当、积极作为。依法履职尽责，积极推进行政执法各项工作，为建设美丽滨海、法治滨海、安全滨海提供了有力保障。</w:t>
      </w:r>
    </w:p>
    <w:p>
      <w:pPr>
        <w:pStyle w:val="2"/>
        <w:keepNext w:val="0"/>
        <w:keepLines w:val="0"/>
        <w:widowControl/>
        <w:suppressLineNumbers w:val="0"/>
        <w:spacing w:line="585" w:lineRule="atLeast"/>
        <w:ind w:left="0" w:firstLine="795"/>
      </w:pPr>
      <w:r>
        <w:rPr>
          <w:rFonts w:ascii="黑体" w:hAnsi="宋体" w:eastAsia="黑体" w:cs="黑体"/>
          <w:sz w:val="31"/>
          <w:szCs w:val="31"/>
        </w:rPr>
        <w:t>一、基本情况</w:t>
      </w:r>
    </w:p>
    <w:p>
      <w:pPr>
        <w:pStyle w:val="2"/>
        <w:keepNext w:val="0"/>
        <w:keepLines w:val="0"/>
        <w:widowControl/>
        <w:suppressLineNumbers w:val="0"/>
        <w:spacing w:line="585" w:lineRule="atLeast"/>
        <w:ind w:left="0" w:firstLine="795"/>
      </w:pPr>
      <w:r>
        <w:rPr>
          <w:rFonts w:hint="default" w:ascii="仿宋_gb2312" w:hAnsi="仿宋_gb2312" w:eastAsia="仿宋_gb2312" w:cs="仿宋_gb2312"/>
          <w:sz w:val="31"/>
          <w:szCs w:val="31"/>
        </w:rPr>
        <w:t>根据《关于组建天津市滨海新区城市管理综合行政执法支队的通知》（津滨党编字【2019】100号），天津市滨海新区城市管理综合行政执法支队（以下简称“执法支队”）为区城市管理委员会管理的行政执法机构，以区城市管理委员会名义实行统一执法。</w:t>
      </w:r>
    </w:p>
    <w:p>
      <w:pPr>
        <w:pStyle w:val="2"/>
        <w:keepNext w:val="0"/>
        <w:keepLines w:val="0"/>
        <w:widowControl/>
        <w:suppressLineNumbers w:val="0"/>
        <w:spacing w:line="585" w:lineRule="atLeast"/>
        <w:ind w:left="0" w:firstLine="645"/>
      </w:pPr>
      <w:r>
        <w:rPr>
          <w:rFonts w:hint="default" w:ascii="仿宋_gb2312" w:hAnsi="仿宋_gb2312" w:eastAsia="仿宋_gb2312" w:cs="仿宋_gb2312"/>
          <w:sz w:val="31"/>
          <w:szCs w:val="31"/>
        </w:rPr>
        <w:t>区城管委现有持证人员43人，因工作需要今年有1名持证人员调离执法支队到新区其他部门任职。</w:t>
      </w:r>
    </w:p>
    <w:p>
      <w:pPr>
        <w:pStyle w:val="2"/>
        <w:keepNext w:val="0"/>
        <w:keepLines w:val="0"/>
        <w:widowControl/>
        <w:suppressLineNumbers w:val="0"/>
        <w:spacing w:line="585" w:lineRule="atLeast"/>
        <w:ind w:left="0" w:firstLine="645"/>
      </w:pPr>
      <w:r>
        <w:rPr>
          <w:rFonts w:hint="default" w:ascii="仿宋_gb2312" w:hAnsi="仿宋_gb2312" w:eastAsia="仿宋_gb2312" w:cs="仿宋_gb2312"/>
          <w:sz w:val="31"/>
          <w:szCs w:val="31"/>
        </w:rPr>
        <w:t>全年持续开展市容环境秩序综合治理行动，依据职责结合“双创”长效机制、市容环境集中整治、燃气领域安全隐患排查整治等工作，持续加大对市容环境秩序治理、损绿毁绿、燃气、道桥等问题，以“及时发现、尽快处置”为原则，积极推动各项工作。</w:t>
      </w:r>
    </w:p>
    <w:p>
      <w:pPr>
        <w:pStyle w:val="2"/>
        <w:keepNext w:val="0"/>
        <w:keepLines w:val="0"/>
        <w:widowControl/>
        <w:suppressLineNumbers w:val="0"/>
        <w:spacing w:line="585" w:lineRule="atLeast"/>
        <w:ind w:left="0" w:firstLine="645"/>
      </w:pPr>
      <w:r>
        <w:rPr>
          <w:rFonts w:hint="default" w:ascii="仿宋_gb2312" w:hAnsi="仿宋_gb2312" w:eastAsia="仿宋_gb2312" w:cs="仿宋_gb2312"/>
          <w:sz w:val="31"/>
          <w:szCs w:val="31"/>
        </w:rPr>
        <w:t>今年执法支队简易处罚案件27起（与去年同期相比减少4起），处罚2750元；普通程序作出行政处罚决定26 起（与去年同期相比减少18起），处罚4852775.03元。没有相应的行政复议和行政诉讼等情况。</w:t>
      </w:r>
    </w:p>
    <w:p>
      <w:pPr>
        <w:pStyle w:val="2"/>
        <w:keepNext w:val="0"/>
        <w:keepLines w:val="0"/>
        <w:widowControl/>
        <w:suppressLineNumbers w:val="0"/>
        <w:spacing w:line="585" w:lineRule="atLeast"/>
        <w:ind w:left="0" w:firstLine="645"/>
      </w:pPr>
      <w:r>
        <w:rPr>
          <w:rFonts w:hint="default" w:ascii="仿宋_gb2312" w:hAnsi="仿宋_gb2312" w:eastAsia="仿宋_gb2312" w:cs="仿宋_gb2312"/>
          <w:sz w:val="31"/>
          <w:szCs w:val="31"/>
        </w:rPr>
        <w:t>全年共处理12345热线举报件3514件，智慧信访204件，政民互动26件，政务网站2件，市民来信8件，市民来电来访37件，安全生产举报专线4件。</w:t>
      </w:r>
    </w:p>
    <w:p>
      <w:pPr>
        <w:pStyle w:val="2"/>
        <w:keepNext w:val="0"/>
        <w:keepLines w:val="0"/>
        <w:widowControl/>
        <w:suppressLineNumbers w:val="0"/>
        <w:spacing w:line="585" w:lineRule="atLeast"/>
        <w:ind w:left="0" w:firstLine="645"/>
      </w:pPr>
      <w:r>
        <w:rPr>
          <w:rFonts w:hint="eastAsia" w:ascii="黑体" w:hAnsi="宋体" w:eastAsia="黑体" w:cs="黑体"/>
          <w:sz w:val="31"/>
          <w:szCs w:val="31"/>
        </w:rPr>
        <w:t>二、主要举措和成效</w:t>
      </w:r>
    </w:p>
    <w:p>
      <w:pPr>
        <w:pStyle w:val="2"/>
        <w:keepNext w:val="0"/>
        <w:keepLines w:val="0"/>
        <w:widowControl/>
        <w:suppressLineNumbers w:val="0"/>
        <w:spacing w:line="585" w:lineRule="atLeast"/>
        <w:ind w:left="0" w:firstLine="645"/>
      </w:pPr>
      <w:r>
        <w:rPr>
          <w:rFonts w:ascii="楷体_gb2312" w:hAnsi="楷体_gb2312" w:eastAsia="楷体_gb2312" w:cs="楷体_gb2312"/>
          <w:sz w:val="31"/>
          <w:szCs w:val="31"/>
        </w:rPr>
        <w:t>（一）完善执法规范。</w:t>
      </w:r>
      <w:r>
        <w:rPr>
          <w:rFonts w:hint="default" w:ascii="仿宋_gb2312" w:hAnsi="仿宋_gb2312" w:eastAsia="仿宋_gb2312" w:cs="仿宋_gb2312"/>
          <w:sz w:val="31"/>
          <w:szCs w:val="31"/>
        </w:rPr>
        <w:t>一是街镇部分城市管理执法事项回收后，对城市管理综合行政执法相关法律法规规章和权责清单进行了全面梳理，积极与区司法局、区编委沟通对接，及时调整和补充权责清单。二是制定《2025年滨海新区城市管理综合行政执法支队学法用法教育培训工作方案》，明确学习目标、内容、形式和要求，推动支队学法用法工作规范化、常态化。三是按照市城管委有关要求，调整了执法支队常用执法文书样式，并积极与新区司法局联系沟通，对新区执法监督平台原城市管理执法文书进行相应调整。四是涉企行政检查事项实行动态管理，严格执行行政执法人员持证上岗和资格管理制度，对不具备执法资格的人员严禁参与执法，确保执法主体适格。</w:t>
      </w:r>
    </w:p>
    <w:p>
      <w:pPr>
        <w:pStyle w:val="2"/>
        <w:keepNext w:val="0"/>
        <w:keepLines w:val="0"/>
        <w:widowControl/>
        <w:suppressLineNumbers w:val="0"/>
        <w:spacing w:line="585" w:lineRule="atLeast"/>
        <w:ind w:left="0" w:firstLine="645"/>
      </w:pPr>
      <w:r>
        <w:rPr>
          <w:rFonts w:hint="default" w:ascii="楷体_gb2312" w:hAnsi="楷体_gb2312" w:eastAsia="楷体_gb2312" w:cs="楷体_gb2312"/>
          <w:sz w:val="31"/>
          <w:szCs w:val="31"/>
        </w:rPr>
        <w:t>（二）加强业务培训。</w:t>
      </w:r>
      <w:r>
        <w:rPr>
          <w:rFonts w:hint="default" w:ascii="仿宋_gb2312" w:hAnsi="仿宋_gb2312" w:eastAsia="仿宋_gb2312" w:cs="仿宋_gb2312"/>
          <w:sz w:val="31"/>
          <w:szCs w:val="31"/>
        </w:rPr>
        <w:t>每年组织督促执法人员参加学法用法考试、行政执法人员公共法律知识培训及全市执法持证人员集中考试，每人每年学习不少于60学时。结合工作实际，重点围绕城管执法相关法律法规、执法实务技能、案卷制作、涉企行政检查有关方面等内容开展培训。</w:t>
      </w:r>
    </w:p>
    <w:p>
      <w:pPr>
        <w:pStyle w:val="2"/>
        <w:keepNext w:val="0"/>
        <w:keepLines w:val="0"/>
        <w:widowControl/>
        <w:suppressLineNumbers w:val="0"/>
        <w:spacing w:line="585" w:lineRule="atLeast"/>
        <w:ind w:left="0" w:firstLine="645"/>
      </w:pPr>
      <w:r>
        <w:rPr>
          <w:rFonts w:hint="default" w:ascii="仿宋_gb2312" w:hAnsi="仿宋_gb2312" w:eastAsia="仿宋_gb2312" w:cs="仿宋_gb2312"/>
          <w:sz w:val="31"/>
          <w:szCs w:val="31"/>
        </w:rPr>
        <w:t>今年陆续开展了《政府信息公开法律探讨》专题讲座、《区城市管理委员会法制审核委员会工作规则》、《区城市管理委员会重大行政执法决定法制审核制度》专题培训；组织开展《新区司法局执法平台具体操作规范和要求》、《执法文书填写制作方法要点》，提升执法人员执法平台操作技能；行业培训开展《燃气安全执法监管政企联训》，内容包括消防安全知识培训、燃气重大安全隐患标准、天然气管道突发事件风险防范与处置以及现场参观研学活动；组织城市管理执法实务专项培训，内容包括《行政复议法理论与执法实务》、《行政处罚法及执法文书规范运用》、《行政强制程序》、《天津市市容和环境卫生管理条例》。同时，以法治政府创建为契机，督促执法人员进行公共法律知识的学习，组织各开发区、各街镇执法人员开展法律知识竞赛。通过学习培训，使每一位执法人员强化了依法行政理念，拓宽了视野思路、提升了业务水平，进一步加强了全区城市管理综合执法队伍建设。</w:t>
      </w:r>
    </w:p>
    <w:p>
      <w:pPr>
        <w:pStyle w:val="2"/>
        <w:keepNext w:val="0"/>
        <w:keepLines w:val="0"/>
        <w:widowControl/>
        <w:suppressLineNumbers w:val="0"/>
        <w:spacing w:line="585" w:lineRule="atLeast"/>
        <w:ind w:left="0" w:firstLine="630"/>
      </w:pPr>
      <w:r>
        <w:rPr>
          <w:rFonts w:hint="default" w:ascii="楷体_gb2312" w:hAnsi="楷体_gb2312" w:eastAsia="楷体_gb2312" w:cs="楷体_gb2312"/>
          <w:sz w:val="31"/>
          <w:szCs w:val="31"/>
        </w:rPr>
        <w:t>（三）加大普法宣传。</w:t>
      </w:r>
      <w:r>
        <w:rPr>
          <w:rFonts w:hint="default" w:ascii="仿宋_gb2312" w:hAnsi="仿宋_gb2312" w:eastAsia="仿宋_gb2312" w:cs="仿宋_gb2312"/>
          <w:sz w:val="31"/>
          <w:szCs w:val="31"/>
        </w:rPr>
        <w:t>以建设法治城管为目标，严格落实“谁执法谁普法”普法责任制，普治共举，打造立体化普法格局。在案件调查询问过程中，执法人员会对当事人进行普法宣传，贯彻普及相关法律法规，宣读讲解相关法条内容，杜绝类似违法行为再次发生。围绕行业法规，先后组织“送法”进社区、进企业等主题普法活动，多次开展“践行垃圾分类，共筑绿色家园”、“我与文明共同行”、“关注燃气安全，共建平安社区”等主题宣传活动，同时多次配合街道以赶大集的形式，集中宣传《天津市文明行为促进条例》、《城镇燃气管理条例》等法律法规，引导群众养成良好的文明意识和行为习惯。</w:t>
      </w:r>
    </w:p>
    <w:p>
      <w:pPr>
        <w:pStyle w:val="2"/>
        <w:keepNext w:val="0"/>
        <w:keepLines w:val="0"/>
        <w:widowControl/>
        <w:suppressLineNumbers w:val="0"/>
        <w:spacing w:line="585" w:lineRule="atLeast"/>
        <w:ind w:left="0" w:firstLine="630"/>
      </w:pPr>
      <w:r>
        <w:rPr>
          <w:rFonts w:hint="default" w:ascii="楷体_gb2312" w:hAnsi="楷体_gb2312" w:eastAsia="楷体_gb2312" w:cs="楷体_gb2312"/>
          <w:sz w:val="31"/>
          <w:szCs w:val="31"/>
        </w:rPr>
        <w:t>（四）严格落实“三项制度”。</w:t>
      </w:r>
      <w:r>
        <w:rPr>
          <w:rFonts w:hint="default" w:ascii="仿宋_gb2312" w:hAnsi="仿宋_gb2312" w:eastAsia="仿宋_gb2312" w:cs="仿宋_gb2312"/>
          <w:sz w:val="31"/>
          <w:szCs w:val="31"/>
        </w:rPr>
        <w:t>今年，重新修订了《重大行政执法决定法制审核制度》、《法制审核委员会工作规则》。依托新区执法监督平台,积极开展网上办案工作,加强流程控制和内部监督。一是严格执行行政执法公示制度。在门户网站公示执法主体、执法依据、执法权限、执法程序，年度“双随机”抽查工作计划；严格落实双人执法，统一着装，主动出示证件；行政案件结果及时在网站公开，及时接受群众监督；每年1月底前按时公开上年度行政执法总体情况及有关数据。二是严格落实执法全过程记录制度。按要求配备执法记录仪，设备配置齐全，各执法人员均配备执法记录仪、单兵执法手机。执法过程通过文字、音像等方式全过程记录，文字记录规范、要素齐全、填写规范、留档留痕。执法案卷严格按标准制作、管理和保存。三是严格做到重大行政执法决定法制审核制度，同时聘请律师参与重大案件的审核。明确审核事项，已制定重大行政执法决定法制审核目录清单，严格法制审核类型、事项名称。明确审核程序，对重大、复杂案件，由分管领导主持召开法审会认真进行集体讨论决定。今年对4起重大行政执法决定召开重大案件法审会，共计作出4550035元的行政处罚。 </w:t>
      </w:r>
    </w:p>
    <w:p>
      <w:pPr>
        <w:pStyle w:val="2"/>
        <w:keepNext w:val="0"/>
        <w:keepLines w:val="0"/>
        <w:widowControl/>
        <w:suppressLineNumbers w:val="0"/>
        <w:spacing w:line="585" w:lineRule="atLeast"/>
        <w:ind w:left="0" w:firstLine="630"/>
      </w:pPr>
      <w:r>
        <w:rPr>
          <w:rFonts w:hint="default" w:ascii="楷体_gb2312" w:hAnsi="楷体_gb2312" w:eastAsia="楷体_gb2312" w:cs="楷体_gb2312"/>
          <w:sz w:val="31"/>
          <w:szCs w:val="31"/>
        </w:rPr>
        <w:t>（五）发挥平台作用。</w:t>
      </w:r>
      <w:r>
        <w:rPr>
          <w:rFonts w:hint="default" w:ascii="仿宋_gb2312" w:hAnsi="仿宋_gb2312" w:eastAsia="仿宋_gb2312" w:cs="仿宋_gb2312"/>
          <w:sz w:val="31"/>
          <w:szCs w:val="31"/>
        </w:rPr>
        <w:t>充分利用“12345”网格服务平台、新区执法监督平台、“互联网+监管”平台、“双随机、一公开”平台等载体，狠抓执法人员执法参与率、执法权责履职率、执法事项查处率、执法计划任务完成率，各项指标达到100%。</w:t>
      </w:r>
    </w:p>
    <w:p>
      <w:pPr>
        <w:pStyle w:val="2"/>
        <w:keepNext w:val="0"/>
        <w:keepLines w:val="0"/>
        <w:widowControl/>
        <w:suppressLineNumbers w:val="0"/>
        <w:spacing w:line="585" w:lineRule="atLeast"/>
        <w:ind w:left="0" w:firstLine="630"/>
      </w:pPr>
      <w:r>
        <w:rPr>
          <w:rFonts w:hint="default" w:ascii="楷体_gb2312" w:hAnsi="楷体_gb2312" w:eastAsia="楷体_gb2312" w:cs="楷体_gb2312"/>
          <w:sz w:val="31"/>
          <w:szCs w:val="31"/>
        </w:rPr>
        <w:t>（六）“双随机、一公开”。</w:t>
      </w:r>
      <w:r>
        <w:rPr>
          <w:rFonts w:hint="default" w:ascii="仿宋_gb2312" w:hAnsi="仿宋_gb2312" w:eastAsia="仿宋_gb2312" w:cs="仿宋_gb2312"/>
          <w:sz w:val="31"/>
          <w:szCs w:val="31"/>
        </w:rPr>
        <w:t>制定抽查实施方案、抽查计划和随机抽查事项清单。更新充实执法人员名录库，完善检查对象名录库，并实施动态调整。对一般领域市场主体实行“诚信免查、多查合一、年内最多查一次”制度，实现市场监管重点领域管住管好、一般领域无事不扰，对企业抽查比例为10%-20%，积极营造良好营商环境。目前，已按市级部门派发的抽查事项清单，组织开展单部门“双随机、一公开”检查4次，涉及企业18家。组织联合“双随机、一公开”检查3次，涉及企业17家，抽查结果100%在市级平台公示。</w:t>
      </w:r>
    </w:p>
    <w:p>
      <w:pPr>
        <w:pStyle w:val="2"/>
        <w:keepNext w:val="0"/>
        <w:keepLines w:val="0"/>
        <w:widowControl/>
        <w:suppressLineNumbers w:val="0"/>
        <w:spacing w:line="585" w:lineRule="atLeast"/>
        <w:ind w:left="0" w:firstLine="630"/>
      </w:pPr>
      <w:r>
        <w:rPr>
          <w:rFonts w:hint="default" w:ascii="楷体_gb2312" w:hAnsi="楷体_gb2312" w:eastAsia="楷体_gb2312" w:cs="楷体_gb2312"/>
          <w:sz w:val="31"/>
          <w:szCs w:val="31"/>
        </w:rPr>
        <w:t>（七）依法执法文明执法。</w:t>
      </w:r>
      <w:r>
        <w:rPr>
          <w:rFonts w:hint="default" w:ascii="仿宋_gb2312" w:hAnsi="仿宋_gb2312" w:eastAsia="仿宋_gb2312" w:cs="仿宋_gb2312"/>
          <w:sz w:val="31"/>
          <w:szCs w:val="31"/>
        </w:rPr>
        <w:t>坚持以人民为中心的发展思想，聚焦人民群众反映强烈的城市管理领域运动式执法、“一刀切”执法、简单粗暴执法、野蛮执法、过度执法、机械执法、逐利执法、乱罚款等行政执法突出问题，按照《关于开展城市管理系统行政执法突出问题专项整治的工作方案》安排，重点紧盯“乱罚款”等问题治理。通过专项整治，有效整治执法顽瘴痼疾，促进严格规范公正文明执法，进一步彰显法治力量，提升执法公信力，提高人民群众对城市管理执法的满意度。</w:t>
      </w:r>
    </w:p>
    <w:p>
      <w:pPr>
        <w:pStyle w:val="2"/>
        <w:keepNext w:val="0"/>
        <w:keepLines w:val="0"/>
        <w:widowControl/>
        <w:suppressLineNumbers w:val="0"/>
        <w:spacing w:line="585" w:lineRule="atLeast"/>
        <w:ind w:left="0" w:firstLine="630"/>
      </w:pPr>
      <w:r>
        <w:rPr>
          <w:rFonts w:hint="default" w:ascii="楷体_gb2312" w:hAnsi="楷体_gb2312" w:eastAsia="楷体_gb2312" w:cs="楷体_gb2312"/>
          <w:sz w:val="31"/>
          <w:szCs w:val="31"/>
        </w:rPr>
        <w:t>（八）做好市容环境秩序治理工作。</w:t>
      </w:r>
      <w:r>
        <w:rPr>
          <w:rFonts w:hint="default" w:ascii="仿宋_gb2312" w:hAnsi="仿宋_gb2312" w:eastAsia="仿宋_gb2312" w:cs="仿宋_gb2312"/>
          <w:sz w:val="31"/>
          <w:szCs w:val="31"/>
        </w:rPr>
        <w:t>按照区城管委工作部署，结合城市管理综合行政执法系统职责，执法支队下发《关于做好加强市容环境秩序综合治理专项执法保障工作的通知》、《关于开展违规占用城市公共空间问题排查整治专项行动的通知》，要求各属地综合执法机构深入贯彻落实习近平总书记视察天津时的讲话精神，严格落实部门职责,结合区交安委、区食安办、区环境局等部门的相关工作部署，进一步强化占路经营、里空外卖、建成区露天焚烧、违法户外广告设施、共享单车停放秩序、渣土撒漏、乱丢垃圾等违法行为的治理力度。执法支队及各街镇执法大队以入区主要道路周边、主次干道、背街里巷、城中村及城乡结合部、校园周边、农贸市场周边等重点区域为治理重点，执法人员放弃节假日休息，积极开展全域市容环境秩序综合整治工作，为助推新区高质量发展、营造良好营商环境提供良好环境秩序保障。</w:t>
      </w:r>
    </w:p>
    <w:p>
      <w:pPr>
        <w:pStyle w:val="2"/>
        <w:keepNext w:val="0"/>
        <w:keepLines w:val="0"/>
        <w:widowControl/>
        <w:suppressLineNumbers w:val="0"/>
        <w:spacing w:line="585" w:lineRule="atLeast"/>
        <w:ind w:left="0" w:firstLine="630"/>
      </w:pPr>
      <w:r>
        <w:rPr>
          <w:rFonts w:hint="default" w:ascii="楷体_gb2312" w:hAnsi="楷体_gb2312" w:eastAsia="楷体_gb2312" w:cs="楷体_gb2312"/>
          <w:sz w:val="31"/>
          <w:szCs w:val="31"/>
        </w:rPr>
        <w:t>（九）建筑垃圾治理有序推进。</w:t>
      </w:r>
      <w:r>
        <w:rPr>
          <w:rFonts w:hint="default" w:ascii="仿宋_gb2312" w:hAnsi="仿宋_gb2312" w:eastAsia="仿宋_gb2312" w:cs="仿宋_gb2312"/>
          <w:sz w:val="31"/>
          <w:szCs w:val="31"/>
        </w:rPr>
        <w:t>积极开展建筑垃圾治理专项执法行动，聚焦建筑垃圾乱堆乱倒、违规运输、运输撒漏、非法处置等违法违规行为，主动作为，加强巡查管控。依法依规从严从重从速惩处违法行为，形成高压态势，为提升全流程、全链条、全方位闭环管理水平提供坚实执法保障。共计立案查处7起，处罚金额共计276925元。</w:t>
      </w:r>
    </w:p>
    <w:p>
      <w:pPr>
        <w:pStyle w:val="2"/>
        <w:keepNext w:val="0"/>
        <w:keepLines w:val="0"/>
        <w:widowControl/>
        <w:suppressLineNumbers w:val="0"/>
        <w:spacing w:line="585" w:lineRule="atLeast"/>
        <w:ind w:left="0" w:firstLine="630"/>
      </w:pPr>
      <w:r>
        <w:rPr>
          <w:rFonts w:hint="default" w:ascii="楷体_gb2312" w:hAnsi="楷体_gb2312" w:eastAsia="楷体_gb2312" w:cs="楷体_gb2312"/>
          <w:sz w:val="31"/>
          <w:szCs w:val="31"/>
        </w:rPr>
        <w:t>（十）做好城市安全隐患排查工作。</w:t>
      </w:r>
      <w:r>
        <w:rPr>
          <w:rFonts w:hint="default" w:ascii="仿宋_gb2312" w:hAnsi="仿宋_gb2312" w:eastAsia="仿宋_gb2312" w:cs="仿宋_gb2312"/>
          <w:sz w:val="31"/>
          <w:szCs w:val="31"/>
        </w:rPr>
        <w:t>结合各级“安全生产治本攻坚三年行动方案”，按照《市城市管理委安全生产权责清单》81项中和安全生产相关的行政处罚，依据职责加强与安全生产相关联的执法工作；聚焦燃气、供热、道桥、道路交通等公共安全领域，强化“一盘棋”意识，依据职责配合区燃气工作专班做好专项领域安全隐患排查整治工作。抓好管道燃气餐饮用户隐患排查整改、燃气设施隐患排查整治工作，全力做好燃气安全管理工作。本年度燃气领域共计立案查处5起，处罚金额共计157500元。</w:t>
      </w:r>
    </w:p>
    <w:p>
      <w:pPr>
        <w:pStyle w:val="2"/>
        <w:keepNext w:val="0"/>
        <w:keepLines w:val="0"/>
        <w:widowControl/>
        <w:suppressLineNumbers w:val="0"/>
        <w:spacing w:line="585" w:lineRule="atLeast"/>
        <w:ind w:left="0" w:firstLine="630"/>
      </w:pPr>
      <w:r>
        <w:rPr>
          <w:rFonts w:hint="default" w:ascii="仿宋_gb2312" w:hAnsi="仿宋_gb2312" w:eastAsia="仿宋_gb2312" w:cs="仿宋_gb2312"/>
          <w:sz w:val="31"/>
          <w:szCs w:val="31"/>
        </w:rPr>
        <w:t>配合相关部门做好对非法加油加气、烟花爆竹、食品药品安全、铁路沿线等专项排查整治工作，发现问题及时移送相关部门，依法依规严格查处违法违规行为，切实守好城市安全运行底线，做好各项安全防范工作。</w:t>
      </w:r>
    </w:p>
    <w:p>
      <w:pPr>
        <w:pStyle w:val="2"/>
        <w:keepNext w:val="0"/>
        <w:keepLines w:val="0"/>
        <w:widowControl/>
        <w:suppressLineNumbers w:val="0"/>
        <w:spacing w:line="585" w:lineRule="atLeast"/>
        <w:ind w:left="0" w:firstLine="630"/>
      </w:pPr>
      <w:r>
        <w:rPr>
          <w:rFonts w:hint="default" w:ascii="楷体_gb2312" w:hAnsi="楷体_gb2312" w:eastAsia="楷体_gb2312" w:cs="楷体_gb2312"/>
          <w:sz w:val="31"/>
          <w:szCs w:val="31"/>
        </w:rPr>
        <w:t>（十一）做好重大任务保障工作。</w:t>
      </w:r>
      <w:r>
        <w:rPr>
          <w:rFonts w:hint="default" w:ascii="仿宋_gb2312" w:hAnsi="仿宋_gb2312" w:eastAsia="仿宋_gb2312" w:cs="仿宋_gb2312"/>
          <w:sz w:val="31"/>
          <w:szCs w:val="31"/>
        </w:rPr>
        <w:t>围绕区委、区政府中心工作，协调督促各属地综合执法机构做好重大项目的执法保障工作。一是制发专项工作通知、保障方案，建立联动联络协调机制，提前部署保障工作，全力做好2025年普通高考英语科目、英语听力考试、春季高职考试、2025年中高考、公务员考试、研究生考试、普通高校艺术统考等考点周边市容秩序保障工作；2025年中小学春季开学护学服务保障工作；足球赛事、夏季达沃斯论坛、上合组织峰会、经贸洽谈以及其他重大调研考察活动重点部位及线路周边环境秩序保障工作。二是加强巡查督促，通过全面加强环境秩序巡查管控、开展城市管理执法服务、做好突发事件应急处置，确保重大活动场地周边市容环境秩序井然有序，重大活动顺利进行。三是做好事后复盘总结，查漏补缺，储备经验。</w:t>
      </w:r>
    </w:p>
    <w:p>
      <w:pPr>
        <w:pStyle w:val="2"/>
        <w:keepNext w:val="0"/>
        <w:keepLines w:val="0"/>
        <w:widowControl/>
        <w:suppressLineNumbers w:val="0"/>
        <w:spacing w:line="585" w:lineRule="atLeast"/>
        <w:ind w:left="0" w:firstLine="795"/>
      </w:pPr>
      <w:r>
        <w:rPr>
          <w:rFonts w:hint="eastAsia" w:ascii="黑体" w:hAnsi="宋体" w:eastAsia="黑体" w:cs="黑体"/>
          <w:sz w:val="31"/>
          <w:szCs w:val="31"/>
        </w:rPr>
        <w:t>三、</w:t>
      </w:r>
      <w:r>
        <w:rPr>
          <w:rStyle w:val="5"/>
          <w:rFonts w:hint="eastAsia" w:ascii="黑体" w:hAnsi="宋体" w:eastAsia="黑体" w:cs="黑体"/>
          <w:b/>
          <w:sz w:val="31"/>
          <w:szCs w:val="31"/>
        </w:rPr>
        <w:t>工作存在的问题</w:t>
      </w:r>
    </w:p>
    <w:p>
      <w:pPr>
        <w:pStyle w:val="2"/>
        <w:keepNext w:val="0"/>
        <w:keepLines w:val="0"/>
        <w:widowControl/>
        <w:suppressLineNumbers w:val="0"/>
        <w:spacing w:line="585" w:lineRule="atLeast"/>
        <w:ind w:left="0" w:firstLine="630"/>
      </w:pPr>
      <w:r>
        <w:rPr>
          <w:rStyle w:val="5"/>
          <w:rFonts w:hint="default" w:ascii="楷体_gb2312" w:hAnsi="楷体_gb2312" w:eastAsia="楷体_gb2312" w:cs="楷体_gb2312"/>
          <w:b/>
          <w:sz w:val="31"/>
          <w:szCs w:val="31"/>
        </w:rPr>
        <w:t>1.法治素养和能力有待加强。</w:t>
      </w:r>
      <w:r>
        <w:rPr>
          <w:rFonts w:hint="default" w:ascii="仿宋_gb2312" w:hAnsi="仿宋_gb2312" w:eastAsia="仿宋_gb2312" w:cs="仿宋_gb2312"/>
          <w:sz w:val="31"/>
          <w:szCs w:val="31"/>
        </w:rPr>
        <w:t>部分干部法治思维和依法行政能力有待提升。学习宣传贯彻习近平法治思想的实效性、针对性还不够强，理论联系实践不够紧密，法治政府建设相关制度执行不到位。在公共法和专业法的掌握上不够系统全面，运用的不够得心应手、落实的比较被动。</w:t>
      </w:r>
    </w:p>
    <w:p>
      <w:pPr>
        <w:pStyle w:val="2"/>
        <w:keepNext w:val="0"/>
        <w:keepLines w:val="0"/>
        <w:widowControl/>
        <w:suppressLineNumbers w:val="0"/>
        <w:spacing w:line="585" w:lineRule="atLeast"/>
        <w:ind w:left="0" w:firstLine="630"/>
      </w:pPr>
      <w:r>
        <w:rPr>
          <w:rStyle w:val="5"/>
          <w:rFonts w:hint="default" w:ascii="楷体_gb2312" w:hAnsi="楷体_gb2312" w:eastAsia="楷体_gb2312" w:cs="楷体_gb2312"/>
          <w:b/>
          <w:sz w:val="31"/>
          <w:szCs w:val="31"/>
        </w:rPr>
        <w:t>2.执法规范和方式有待提升。</w:t>
      </w:r>
      <w:r>
        <w:rPr>
          <w:rFonts w:hint="default" w:ascii="仿宋_gb2312" w:hAnsi="仿宋_gb2312" w:eastAsia="仿宋_gb2312" w:cs="仿宋_gb2312"/>
          <w:sz w:val="31"/>
          <w:szCs w:val="31"/>
        </w:rPr>
        <w:t>个别执法案卷存在文书制作不够严谨的问题；在落实“三项制度”的细节上，存在如部分音像记录归档不够及时规范的问题；主动服务企业的意识不够强，在执法过程中进行政策解读、风险提示和合规指导的深度和广度不足；运用行政指导、说服教育、警示告诫等柔性执法方式不够充分。</w:t>
      </w:r>
    </w:p>
    <w:p>
      <w:pPr>
        <w:pStyle w:val="2"/>
        <w:keepNext w:val="0"/>
        <w:keepLines w:val="0"/>
        <w:widowControl/>
        <w:suppressLineNumbers w:val="0"/>
        <w:spacing w:line="585" w:lineRule="atLeast"/>
        <w:ind w:left="0" w:firstLine="795"/>
      </w:pPr>
      <w:r>
        <w:rPr>
          <w:rFonts w:hint="eastAsia" w:ascii="黑体" w:hAnsi="宋体" w:eastAsia="黑体" w:cs="黑体"/>
          <w:sz w:val="31"/>
          <w:szCs w:val="31"/>
        </w:rPr>
        <w:t>四、下一步工作安排</w:t>
      </w:r>
    </w:p>
    <w:p>
      <w:pPr>
        <w:pStyle w:val="2"/>
        <w:keepNext w:val="0"/>
        <w:keepLines w:val="0"/>
        <w:widowControl/>
        <w:suppressLineNumbers w:val="0"/>
        <w:spacing w:line="585" w:lineRule="atLeast"/>
        <w:ind w:left="0" w:firstLine="795"/>
      </w:pPr>
      <w:r>
        <w:rPr>
          <w:rFonts w:hint="default" w:ascii="楷体_gb2312" w:hAnsi="楷体_gb2312" w:eastAsia="楷体_gb2312" w:cs="楷体_gb2312"/>
          <w:sz w:val="31"/>
          <w:szCs w:val="31"/>
        </w:rPr>
        <w:t>（一）推动执法队伍规范化建设。</w:t>
      </w:r>
      <w:r>
        <w:rPr>
          <w:rFonts w:hint="default" w:ascii="仿宋_gb2312" w:hAnsi="仿宋_gb2312" w:eastAsia="仿宋_gb2312" w:cs="仿宋_gb2312"/>
          <w:sz w:val="31"/>
          <w:szCs w:val="31"/>
        </w:rPr>
        <w:t>聚焦执法不文明、执法乱作为等五个方面为整治重点内容，围绕四个实施步骤、落实专项整治“十项”举措，不断整治城管执法不规范行为。持续推进执法队伍的政治建设、能力建设和作风建设。通过完善执法制度、强化教育培训、优化队伍结构等措施，不断提高执法队伍的专业素养和执法水平。 </w:t>
      </w:r>
    </w:p>
    <w:p>
      <w:pPr>
        <w:pStyle w:val="2"/>
        <w:keepNext w:val="0"/>
        <w:keepLines w:val="0"/>
        <w:widowControl/>
        <w:suppressLineNumbers w:val="0"/>
        <w:spacing w:line="585" w:lineRule="atLeast"/>
        <w:ind w:left="0" w:firstLine="645"/>
      </w:pPr>
      <w:r>
        <w:rPr>
          <w:rFonts w:hint="default" w:ascii="楷体_gb2312" w:hAnsi="楷体_gb2312" w:eastAsia="楷体_gb2312" w:cs="楷体_gb2312"/>
          <w:sz w:val="31"/>
          <w:szCs w:val="31"/>
        </w:rPr>
        <w:t>（二）推动城市管理进社区。</w:t>
      </w:r>
      <w:r>
        <w:rPr>
          <w:rFonts w:hint="default" w:ascii="仿宋_gb2312" w:hAnsi="仿宋_gb2312" w:eastAsia="仿宋_gb2312" w:cs="仿宋_gb2312"/>
          <w:sz w:val="31"/>
          <w:szCs w:val="31"/>
        </w:rPr>
        <w:t>按照区委组织部、社工部的总体部署，以美丽社区建设活动为契机，践行共治共建共享的社区治理新理念，助力社区解决垃圾成堆、违章建筑、乱圈乱占、早餐点油污等问题，实现社区从“单打独斗”到“联合作战”、从“被动应对”到“主动防范”、从“安于现状”到“锐意进取”的转变升级。</w:t>
      </w:r>
    </w:p>
    <w:p>
      <w:pPr>
        <w:pStyle w:val="2"/>
        <w:keepNext w:val="0"/>
        <w:keepLines w:val="0"/>
        <w:widowControl/>
        <w:suppressLineNumbers w:val="0"/>
        <w:spacing w:line="585" w:lineRule="atLeast"/>
        <w:ind w:left="0" w:firstLine="645"/>
      </w:pPr>
      <w:r>
        <w:rPr>
          <w:rFonts w:hint="default" w:ascii="楷体_gb2312" w:hAnsi="楷体_gb2312" w:eastAsia="楷体_gb2312" w:cs="楷体_gb2312"/>
          <w:sz w:val="31"/>
          <w:szCs w:val="31"/>
        </w:rPr>
        <w:t>（三）推动教育培训提升执法素养。</w:t>
      </w:r>
      <w:r>
        <w:rPr>
          <w:rFonts w:hint="default" w:ascii="仿宋_gb2312" w:hAnsi="仿宋_gb2312" w:eastAsia="仿宋_gb2312" w:cs="仿宋_gb2312"/>
          <w:sz w:val="31"/>
          <w:szCs w:val="31"/>
        </w:rPr>
        <w:t>当前，新业态、新矛盾对执法工作提出了更高要求，唯有以系统化、常态化、精准化的教育培训为抓手，才能推动执法人员综合素质迭代升级，让执法既有力度更有温度。通过现场教学、模拟执法、案卷评查等方式，提升调查取证、文书制作、冲突化解等实战能力，破解“本领恐慌”难题。</w:t>
      </w:r>
    </w:p>
    <w:p>
      <w:pPr>
        <w:pStyle w:val="2"/>
        <w:keepNext w:val="0"/>
        <w:keepLines w:val="0"/>
        <w:widowControl/>
        <w:suppressLineNumbers w:val="0"/>
        <w:spacing w:line="585" w:lineRule="atLeast"/>
        <w:ind w:left="0" w:firstLine="645"/>
      </w:pPr>
      <w:r>
        <w:rPr>
          <w:rFonts w:hint="default" w:ascii="仿宋_gb2312" w:hAnsi="仿宋_gb2312" w:eastAsia="仿宋_gb2312" w:cs="仿宋_gb2312"/>
          <w:sz w:val="31"/>
          <w:szCs w:val="31"/>
        </w:rPr>
        <w:t>执法素养的提升非一日之功，教育培训的推进需久久为功。唯有坚持以学促干、以干践学，不断完善培训体系、创新培训方法、健全长效机制，才能打造一支政治坚定、业务精通、作风过硬的执法队伍，让每一次执法都经得起法律检验、群众监督，为法治中国建设注入坚实力量。</w:t>
      </w:r>
    </w:p>
    <w:p>
      <w:pPr>
        <w:pStyle w:val="2"/>
        <w:keepNext w:val="0"/>
        <w:keepLines w:val="0"/>
        <w:widowControl/>
        <w:suppressLineNumbers w:val="0"/>
        <w:spacing w:line="585" w:lineRule="atLeast"/>
        <w:ind w:left="0" w:firstLine="795"/>
      </w:pPr>
      <w:r>
        <w:rPr>
          <w:rFonts w:hint="default" w:ascii="仿宋_gb2312" w:hAnsi="仿宋_gb2312" w:eastAsia="仿宋_gb2312" w:cs="仿宋_gb2312"/>
          <w:sz w:val="31"/>
          <w:szCs w:val="31"/>
        </w:rPr>
        <w:t> </w:t>
      </w:r>
    </w:p>
    <w:p>
      <w:pPr>
        <w:pStyle w:val="2"/>
        <w:keepNext w:val="0"/>
        <w:keepLines w:val="0"/>
        <w:widowControl/>
        <w:suppressLineNumbers w:val="0"/>
        <w:spacing w:line="585" w:lineRule="atLeast"/>
        <w:ind w:left="0" w:firstLine="795"/>
      </w:pPr>
      <w:r>
        <w:rPr>
          <w:rFonts w:hint="default" w:ascii="仿宋_gb2312" w:hAnsi="仿宋_gb2312" w:eastAsia="仿宋_gb2312" w:cs="仿宋_gb2312"/>
          <w:sz w:val="31"/>
          <w:szCs w:val="31"/>
        </w:rPr>
        <w:t> </w:t>
      </w:r>
    </w:p>
    <w:p>
      <w:pPr>
        <w:pStyle w:val="2"/>
        <w:keepNext w:val="0"/>
        <w:keepLines w:val="0"/>
        <w:widowControl/>
        <w:suppressLineNumbers w:val="0"/>
        <w:spacing w:line="585" w:lineRule="atLeast"/>
        <w:ind w:left="0" w:firstLine="795"/>
      </w:pPr>
      <w:r>
        <w:rPr>
          <w:rFonts w:hint="default" w:ascii="仿宋_gb2312" w:hAnsi="仿宋_gb2312" w:eastAsia="仿宋_gb2312" w:cs="仿宋_gb2312"/>
          <w:sz w:val="31"/>
          <w:szCs w:val="31"/>
        </w:rPr>
        <w:t> </w:t>
      </w:r>
    </w:p>
    <w:p>
      <w:pPr>
        <w:pStyle w:val="2"/>
        <w:keepNext w:val="0"/>
        <w:keepLines w:val="0"/>
        <w:widowControl/>
        <w:suppressLineNumbers w:val="0"/>
        <w:spacing w:line="585" w:lineRule="atLeast"/>
        <w:ind w:left="0" w:firstLine="795"/>
      </w:pPr>
      <w:r>
        <w:rPr>
          <w:rFonts w:hint="default" w:ascii="仿宋_gb2312" w:hAnsi="仿宋_gb2312" w:eastAsia="仿宋_gb2312" w:cs="仿宋_gb2312"/>
          <w:sz w:val="31"/>
          <w:szCs w:val="31"/>
        </w:rPr>
        <w:t>                            2025年12月15日</w:t>
      </w:r>
    </w:p>
    <w:p>
      <w:pPr>
        <w:pStyle w:val="2"/>
        <w:keepNext w:val="0"/>
        <w:keepLines w:val="0"/>
        <w:widowControl/>
        <w:suppressLineNumbers w:val="0"/>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6A92D"/>
    <w:rsid w:val="3EAB0813"/>
    <w:rsid w:val="53D3C3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kylin</cp:lastModifiedBy>
  <dcterms:modified xsi:type="dcterms:W3CDTF">2026-02-09T09:11:32Z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