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区城管委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政府信息公开工作</w:t>
      </w:r>
    </w:p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根据《中华人民共和国政府信息公开条例》（以下简称《条例》）第五十条规定，现向社会公布区城管委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2025年度政府信息公开工作情况。本报告涵盖总体情况、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主动公开、依申请公开、行政复议与诉讼、存在问题与改进措施、其他事项六部分，本年度报告中所列数据的统计期限自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年1月1日起至202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年12月31日止。</w:t>
      </w:r>
    </w:p>
    <w:p>
      <w:pPr>
        <w:widowControl/>
        <w:shd w:val="clear" w:color="auto" w:fill="FFFFFF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区城管委全面落实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《条例》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要求及区委区政府关于信息公开工作部署，坚持“大城三管”的工作理念，紧扣城市精细化管理、民生保障等核心工作，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以公开为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原则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、不公开为例外，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紧紧围绕城市管理工作和人民群众关心的热点问题，依法依规推进政务公开工作，为实现城市管理事业高质量发展创造了良好的政务公开环境。</w:t>
      </w:r>
    </w:p>
    <w:p>
      <w:pPr>
        <w:widowControl/>
        <w:shd w:val="clear" w:color="auto" w:fill="FFFFFF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（一）主动公开方面。聚焦机构职能、政策文件、执法监管、民生服务等重点领域，规范公开流程，及时回应社会关切。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主动公开内容覆盖机构信息、停车泊位、行政执法人员情况、安全生产、行政处罚信息、财政预决算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、餐厨垃圾处理、招聘公告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及城市管理民生相关信息等。202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区城管委通过门户网站主动公开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公开各类相关信息共计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件，其中政策性文件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件，其他信息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88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件。</w:t>
      </w:r>
    </w:p>
    <w:p>
      <w:pPr>
        <w:widowControl/>
        <w:shd w:val="clear" w:color="auto" w:fill="FFFFFF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（二）依申请公开方面。健全完善工作机制，畅通网上、信函、现场等多元申请渠道，严格落实办理时限与答复规范，切实保障人民群众的知情权。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年累计接收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公民、法人和其他组织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依申请公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开共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90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件（含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年结转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），已办理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89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件，其余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件结转202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年继续办理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（三）政府信息管理方面。严格执行“谁制定、谁审查”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“先审查、后公开”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和“一事一审”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的原则，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对政务信息采编、审校、发布和传播整个链条进行监管，严格做好政府信息公开审批管理。</w:t>
      </w:r>
    </w:p>
    <w:p>
      <w:pPr>
        <w:widowControl/>
        <w:shd w:val="clear" w:color="auto" w:fill="FFFFFF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（四）平台建设方面。严格按照区政府工作要求，积极维护信息公开专栏，强化供气、供热、垃圾处理等与民生紧密相关的信息公开工作，确保政府网站平稳运行。</w:t>
      </w:r>
    </w:p>
    <w:p>
      <w:pPr>
        <w:widowControl/>
        <w:shd w:val="clear" w:color="auto" w:fill="FFFFFF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五）监督保障方面。贯彻落实区政府政务公开工作要求，对信息公开进行自查，发现问题及时整改；组织相关工作人员认真学习《条例》，持续完善政府信息公开的审核、发布、培训等工作机制，明确工作责任，形成职责清晰、协同配合的信息公开工作机制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2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发件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现行有效件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　</w:t>
            </w: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　</w:t>
            </w: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default" w:ascii="Calibri" w:hAnsi="Calibri" w:cs="宋体"/>
                <w:color w:val="000000"/>
                <w:kern w:val="0"/>
                <w:sz w:val="28"/>
                <w:szCs w:val="28"/>
                <w:lang w:val="e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val="en" w:eastAsia="zh-CN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4"/>
        <w:gridCol w:w="695"/>
        <w:gridCol w:w="687"/>
        <w:gridCol w:w="687"/>
        <w:gridCol w:w="687"/>
        <w:gridCol w:w="688"/>
        <w:gridCol w:w="688"/>
        <w:gridCol w:w="6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2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79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Calibri" w:hAnsi="Calibri" w:cs="宋体"/>
                <w:color w:val="000000"/>
                <w:kern w:val="0"/>
                <w:sz w:val="20"/>
                <w:szCs w:val="20"/>
                <w:lang w:val="en" w:eastAsia="zh-CN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54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 xml:space="preserve"> 24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Calibri" w:hAnsi="Calibri" w:cs="宋体"/>
                <w:color w:val="000000"/>
                <w:kern w:val="0"/>
                <w:sz w:val="20"/>
                <w:szCs w:val="20"/>
                <w:lang w:val="en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ind w:firstLine="120" w:firstLineChars="5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84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" w:eastAsia="zh-CN"/>
              </w:rPr>
              <w:t>1</w:t>
            </w:r>
          </w:p>
        </w:tc>
      </w:tr>
    </w:tbl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" w:eastAsia="zh-CN"/>
              </w:rPr>
              <w:t>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" w:eastAsia="zh-CN"/>
              </w:rPr>
              <w:t>0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存在问题：一是经办人员业务能力存在短板，部分人员对复杂申请的研判和答复规范性有待提升，二是民生领域信息公开精准度不够，聚焦垃圾分类、停车管理等群众关切的信息深度不足，关联信息整合度低。下一步，区城管委将进一步强化政府信息公开工作，压实信息公开主体责任。强化能力建设。一是继续加强《条例》学习，不断加强城市管理系统对政府信息公开工作的重视程度和公开水平，推进申请公开政府信息工作规范化、便民化。 二是强化民生信息公开清单，聚焦市容整治、供热等便民服务领域。</w:t>
      </w: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年政府信息公开申请办理结果统计表格中填写“其他结果”的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件，均为申请人撤销申请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ind w:firstLine="48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年政府信息公开行政复议案件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件，其中结果维持行政机关行为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件；尚未审结1件；其他结果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件，均为申请人自行提出撤回行政复议申请。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AD4CC"/>
    <w:rsid w:val="0EFF80FF"/>
    <w:rsid w:val="0F7FA4EB"/>
    <w:rsid w:val="16A8A085"/>
    <w:rsid w:val="1FF7C13D"/>
    <w:rsid w:val="1FFF515E"/>
    <w:rsid w:val="269952FB"/>
    <w:rsid w:val="2B9B8A3A"/>
    <w:rsid w:val="2BFE9C14"/>
    <w:rsid w:val="2DF748F2"/>
    <w:rsid w:val="2FAD569F"/>
    <w:rsid w:val="3AFD9FF6"/>
    <w:rsid w:val="3DBE7DB4"/>
    <w:rsid w:val="3FB5C504"/>
    <w:rsid w:val="4DFF1178"/>
    <w:rsid w:val="4EDFB829"/>
    <w:rsid w:val="4FFF39DB"/>
    <w:rsid w:val="54FF6C21"/>
    <w:rsid w:val="59FBB497"/>
    <w:rsid w:val="5DCF3EFC"/>
    <w:rsid w:val="5FFE38FD"/>
    <w:rsid w:val="60F91FD6"/>
    <w:rsid w:val="63FF16FF"/>
    <w:rsid w:val="64FDABBC"/>
    <w:rsid w:val="67BDAA96"/>
    <w:rsid w:val="6BDFD4A2"/>
    <w:rsid w:val="6DBBE672"/>
    <w:rsid w:val="731F14A9"/>
    <w:rsid w:val="755FA36E"/>
    <w:rsid w:val="75D5FA41"/>
    <w:rsid w:val="76DDD98B"/>
    <w:rsid w:val="776FC9B1"/>
    <w:rsid w:val="77BF3735"/>
    <w:rsid w:val="77F82015"/>
    <w:rsid w:val="78362302"/>
    <w:rsid w:val="7A5115CF"/>
    <w:rsid w:val="7ABBBB7C"/>
    <w:rsid w:val="7B7FFF3A"/>
    <w:rsid w:val="7BDE2E42"/>
    <w:rsid w:val="7D1B646C"/>
    <w:rsid w:val="7DEF9B11"/>
    <w:rsid w:val="7EBFB40E"/>
    <w:rsid w:val="7F7F2584"/>
    <w:rsid w:val="7F9E679A"/>
    <w:rsid w:val="7FBE3704"/>
    <w:rsid w:val="7FE6D57D"/>
    <w:rsid w:val="7FEFACEC"/>
    <w:rsid w:val="7FFF6E69"/>
    <w:rsid w:val="A5FFD25E"/>
    <w:rsid w:val="A776E8E9"/>
    <w:rsid w:val="AE77EAD7"/>
    <w:rsid w:val="BBF3082F"/>
    <w:rsid w:val="BF4F6F29"/>
    <w:rsid w:val="BFFF8C07"/>
    <w:rsid w:val="DA59163D"/>
    <w:rsid w:val="DB7E823F"/>
    <w:rsid w:val="DCC3E351"/>
    <w:rsid w:val="DDE7C5EC"/>
    <w:rsid w:val="DE33C512"/>
    <w:rsid w:val="DFB60F12"/>
    <w:rsid w:val="DFBF06EF"/>
    <w:rsid w:val="E1594745"/>
    <w:rsid w:val="E565E977"/>
    <w:rsid w:val="EDAF3CC2"/>
    <w:rsid w:val="F4B276EE"/>
    <w:rsid w:val="F565A280"/>
    <w:rsid w:val="F7AC4551"/>
    <w:rsid w:val="F7BBE3FF"/>
    <w:rsid w:val="F7EF98A4"/>
    <w:rsid w:val="F7EFDC77"/>
    <w:rsid w:val="FB5E9FC6"/>
    <w:rsid w:val="FB976E48"/>
    <w:rsid w:val="FBEB1B81"/>
    <w:rsid w:val="FBFC91EC"/>
    <w:rsid w:val="FBFEF2E8"/>
    <w:rsid w:val="FBFFCF6C"/>
    <w:rsid w:val="FDDEAA8D"/>
    <w:rsid w:val="FEFAD4CC"/>
    <w:rsid w:val="FF3E3CAC"/>
    <w:rsid w:val="FFCFE31F"/>
    <w:rsid w:val="FFFECD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2023-01-10T20:39:00Z</dcterms:created>
  <dc:creator>kylin</dc:creator>
  <cp:lastModifiedBy>kylin</cp:lastModifiedBy>
  <cp:lastPrinted>2026-01-19T18:36:55Z</cp:lastPrinted>
  <dcterms:modified xsi:type="dcterms:W3CDTF">2026-02-09T08:57:21Z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